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6942" w:rsidRDefault="00E66017">
      <w:pPr>
        <w:pBdr>
          <w:top w:val="nil"/>
          <w:left w:val="nil"/>
          <w:bottom w:val="nil"/>
          <w:right w:val="nil"/>
          <w:between w:val="nil"/>
        </w:pBdr>
      </w:pPr>
      <w:r>
        <w:rPr>
          <w:noProof/>
          <w:sz w:val="20"/>
        </w:rPr>
        <w:drawing>
          <wp:anchor distT="57150" distB="57150" distL="57150" distR="57150" simplePos="0" relativeHeight="251624960" behindDoc="0" locked="0" layoutInCell="1" allowOverlap="1">
            <wp:simplePos x="0" y="0"/>
            <wp:positionH relativeFrom="column">
              <wp:posOffset>1544324</wp:posOffset>
            </wp:positionH>
            <wp:positionV relativeFrom="line">
              <wp:posOffset>342270</wp:posOffset>
            </wp:positionV>
            <wp:extent cx="2162810" cy="1487805"/>
            <wp:effectExtent l="0" t="0" r="0" b="0"/>
            <wp:wrapThrough wrapText="bothSides">
              <wp:wrapPolygon edited="0">
                <wp:start x="0" y="0"/>
                <wp:lineTo x="21600" y="0"/>
                <wp:lineTo x="21600" y="21600"/>
                <wp:lineTo x="0" y="21600"/>
                <wp:lineTo x="0" y="0"/>
              </wp:wrapPolygon>
            </wp:wrapThrough>
            <wp:docPr id="11"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var/mobile/Containers/Data/Application/44707E1B-E52C-4A04-A0BE-586F106C7FC9/tmp/etemp1/image1.png"/>
                    <pic:cNvPicPr>
                      <a:picLocks noChangeAspect="1" noChangeArrowheads="1"/>
                    </pic:cNvPicPr>
                  </pic:nvPicPr>
                  <pic:blipFill>
                    <a:blip r:embed="rId8" cstate="print"/>
                    <a:stretch>
                      <a:fillRect/>
                    </a:stretch>
                  </pic:blipFill>
                  <pic:spPr>
                    <a:xfrm>
                      <a:off x="0" y="0"/>
                      <a:ext cx="2163445" cy="1488440"/>
                    </a:xfrm>
                    <a:prstGeom prst="rect">
                      <a:avLst/>
                    </a:prstGeom>
                    <a:ln w="12700" cap="flat">
                      <a:noFill/>
                    </a:ln>
                  </pic:spPr>
                </pic:pic>
              </a:graphicData>
            </a:graphic>
          </wp:anchor>
        </w:drawing>
      </w:r>
      <w:r w:rsidR="008603C9">
        <w:rPr>
          <w:sz w:val="20"/>
        </w:rPr>
        <w:pict>
          <v:rect id="_x0000_s3077" style="position:absolute;margin-left:76pt;margin-top:271pt;width:261pt;height:63pt;z-index:251624963;mso-position-horizontal:absolute;mso-position-horizontal-relative:text;mso-position-vertical:absolute;mso-position-vertical-relative:line" filled="f" stroked="f">
            <v:textbox inset="4pt,4pt,4pt,4pt">
              <w:txbxContent>
                <w:p w:rsidR="00E66017" w:rsidRDefault="00E66017">
                  <w:pPr>
                    <w:pBdr>
                      <w:top w:val="nil"/>
                      <w:left w:val="nil"/>
                      <w:bottom w:val="nil"/>
                      <w:right w:val="nil"/>
                      <w:between w:val="nil"/>
                    </w:pBdr>
                    <w:jc w:val="center"/>
                  </w:pPr>
                  <w:r>
                    <w:rPr>
                      <w:rStyle w:val="Numeropagina"/>
                      <w:sz w:val="48"/>
                      <w:szCs w:val="48"/>
                      <w:u w:val="single"/>
                    </w:rPr>
                    <w:t>Descrizione del Corso</w:t>
                  </w:r>
                </w:p>
              </w:txbxContent>
            </v:textbox>
            <w10:wrap type="square"/>
          </v:rect>
        </w:pict>
      </w: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603C9">
      <w:pPr>
        <w:pBdr>
          <w:top w:val="nil"/>
          <w:left w:val="nil"/>
          <w:bottom w:val="nil"/>
          <w:right w:val="nil"/>
          <w:between w:val="nil"/>
        </w:pBdr>
      </w:pPr>
      <w:r>
        <w:rPr>
          <w:sz w:val="20"/>
        </w:rPr>
        <w:pict>
          <v:rect id="_x0000_s3076" style="position:absolute;margin-left:57pt;margin-top:21pt;width:298.8pt;height:63.2pt;z-index:251624962;mso-position-horizontal:absolute;mso-position-horizontal-relative:margin;mso-position-vertical:absolute;mso-position-vertical-relative:line" filled="f" stroked="f">
            <v:textbox inset="4pt,4pt,4pt,4pt">
              <w:txbxContent>
                <w:p w:rsidR="00E66017" w:rsidRDefault="00E66017">
                  <w:pPr>
                    <w:pBdr>
                      <w:top w:val="nil"/>
                      <w:left w:val="nil"/>
                      <w:bottom w:val="nil"/>
                      <w:right w:val="nil"/>
                      <w:between w:val="nil"/>
                    </w:pBdr>
                    <w:jc w:val="center"/>
                  </w:pPr>
                  <w:r>
                    <w:rPr>
                      <w:rStyle w:val="Numeropagina"/>
                      <w:sz w:val="72"/>
                      <w:szCs w:val="72"/>
                    </w:rPr>
                    <w:t>Adult Trainer</w:t>
                  </w:r>
                </w:p>
              </w:txbxContent>
            </v:textbox>
            <w10:wrap type="square" anchorx="margin"/>
          </v:rect>
        </w:pict>
      </w: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603C9">
      <w:pPr>
        <w:pBdr>
          <w:top w:val="nil"/>
          <w:left w:val="nil"/>
          <w:bottom w:val="nil"/>
          <w:right w:val="nil"/>
          <w:between w:val="nil"/>
        </w:pBdr>
      </w:pPr>
      <w:r>
        <w:rPr>
          <w:sz w:val="20"/>
        </w:rPr>
        <w:pict>
          <v:rect id="_x0000_s3075" style="position:absolute;margin-left:117pt;margin-top:16pt;width:180pt;height:69pt;z-index:251624965;mso-position-horizontal:absolute;mso-position-horizontal-relative:margin;mso-position-vertical:absolute;mso-position-vertical-relative:line" filled="f" stroked="f">
            <v:textbox inset="4pt,4pt,4pt,4pt">
              <w:txbxContent>
                <w:p w:rsidR="00E66017" w:rsidRDefault="00E66017">
                  <w:pPr>
                    <w:pBdr>
                      <w:top w:val="nil"/>
                      <w:left w:val="nil"/>
                      <w:bottom w:val="nil"/>
                      <w:right w:val="nil"/>
                      <w:between w:val="nil"/>
                    </w:pBdr>
                    <w:jc w:val="center"/>
                    <w:rPr>
                      <w:rStyle w:val="Numeropagina"/>
                      <w:b/>
                      <w:sz w:val="40"/>
                      <w:szCs w:val="40"/>
                    </w:rPr>
                  </w:pPr>
                  <w:r>
                    <w:rPr>
                      <w:rStyle w:val="Numeropagina"/>
                      <w:b/>
                      <w:sz w:val="40"/>
                      <w:szCs w:val="40"/>
                    </w:rPr>
                    <w:t>EQF Livello 5</w:t>
                  </w:r>
                </w:p>
                <w:p w:rsidR="00E66017" w:rsidRDefault="00E66017">
                  <w:pPr>
                    <w:pBdr>
                      <w:top w:val="nil"/>
                      <w:left w:val="nil"/>
                      <w:bottom w:val="nil"/>
                      <w:right w:val="nil"/>
                      <w:between w:val="nil"/>
                    </w:pBdr>
                    <w:jc w:val="center"/>
                  </w:pPr>
                  <w:r>
                    <w:rPr>
                      <w:rStyle w:val="Numeropagina"/>
                      <w:b/>
                      <w:sz w:val="40"/>
                      <w:szCs w:val="40"/>
                    </w:rPr>
                    <w:t>6 ECVET</w:t>
                  </w:r>
                </w:p>
              </w:txbxContent>
            </v:textbox>
            <w10:wrap type="square" anchorx="margin"/>
          </v:rect>
        </w:pict>
      </w: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E66017">
      <w:pPr>
        <w:pBdr>
          <w:top w:val="nil"/>
          <w:left w:val="nil"/>
          <w:bottom w:val="nil"/>
          <w:right w:val="nil"/>
          <w:between w:val="nil"/>
        </w:pBdr>
        <w:tabs>
          <w:tab w:val="left" w:pos="1872"/>
        </w:tabs>
      </w:pPr>
      <w:r>
        <w:tab/>
      </w: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E66017">
      <w:pPr>
        <w:pBdr>
          <w:top w:val="nil"/>
          <w:left w:val="nil"/>
          <w:bottom w:val="nil"/>
          <w:right w:val="nil"/>
          <w:between w:val="nil"/>
        </w:pBdr>
        <w:tabs>
          <w:tab w:val="left" w:pos="1872"/>
        </w:tabs>
      </w:pPr>
      <w:r>
        <w:rPr>
          <w:noProof/>
          <w:sz w:val="20"/>
        </w:rPr>
        <w:drawing>
          <wp:anchor distT="57150" distB="57150" distL="57150" distR="57150" simplePos="0" relativeHeight="251624961" behindDoc="0" locked="0" layoutInCell="1" allowOverlap="1">
            <wp:simplePos x="0" y="0"/>
            <wp:positionH relativeFrom="column">
              <wp:posOffset>2801624</wp:posOffset>
            </wp:positionH>
            <wp:positionV relativeFrom="line">
              <wp:posOffset>167009</wp:posOffset>
            </wp:positionV>
            <wp:extent cx="3423920" cy="969644"/>
            <wp:effectExtent l="0" t="0" r="0" b="0"/>
            <wp:wrapThrough wrapText="bothSides">
              <wp:wrapPolygon edited="0">
                <wp:start x="0" y="0"/>
                <wp:lineTo x="21600" y="0"/>
                <wp:lineTo x="21600" y="21600"/>
                <wp:lineTo x="0" y="21600"/>
                <wp:lineTo x="0" y="0"/>
              </wp:wrapPolygon>
            </wp:wrapThrough>
            <wp:docPr id="15" name="officeArt obj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descr="/var/mobile/Containers/Data/Application/44707E1B-E52C-4A04-A0BE-586F106C7FC9/tmp/etemp1/image2.png"/>
                    <pic:cNvPicPr>
                      <a:picLocks noChangeAspect="1" noChangeArrowheads="1"/>
                    </pic:cNvPicPr>
                  </pic:nvPicPr>
                  <pic:blipFill>
                    <a:blip r:embed="rId9" cstate="print"/>
                    <a:stretch>
                      <a:fillRect/>
                    </a:stretch>
                  </pic:blipFill>
                  <pic:spPr>
                    <a:xfrm>
                      <a:off x="0" y="0"/>
                      <a:ext cx="3424555" cy="970280"/>
                    </a:xfrm>
                    <a:prstGeom prst="rect">
                      <a:avLst/>
                    </a:prstGeom>
                    <a:ln w="12700" cap="flat">
                      <a:noFill/>
                    </a:ln>
                  </pic:spPr>
                </pic:pic>
              </a:graphicData>
            </a:graphic>
          </wp:anchor>
        </w:drawing>
      </w:r>
    </w:p>
    <w:p w:rsidR="008F6942" w:rsidRDefault="008603C9">
      <w:pPr>
        <w:pBdr>
          <w:top w:val="nil"/>
          <w:left w:val="nil"/>
          <w:bottom w:val="nil"/>
          <w:right w:val="nil"/>
          <w:between w:val="nil"/>
        </w:pBdr>
        <w:tabs>
          <w:tab w:val="left" w:pos="1872"/>
        </w:tabs>
      </w:pPr>
      <w:r>
        <w:rPr>
          <w:sz w:val="20"/>
        </w:rPr>
        <w:pict>
          <v:rect id="_x0000_s3074" style="position:absolute;margin-left:-14pt;margin-top:20pt;width:188.6pt;height:1in;z-index:251624964;mso-position-horizontal:absolute;mso-position-horizontal-relative:text;mso-position-vertical:absolute;mso-position-vertical-relative:line" filled="f" stroked="f">
            <v:textbox inset="4pt,4pt,4pt,4pt">
              <w:txbxContent>
                <w:p w:rsidR="00E66017" w:rsidRDefault="00E66017">
                  <w:pPr>
                    <w:pBdr>
                      <w:top w:val="nil"/>
                      <w:left w:val="nil"/>
                      <w:bottom w:val="nil"/>
                      <w:right w:val="nil"/>
                      <w:between w:val="nil"/>
                    </w:pBdr>
                  </w:pPr>
                  <w:r>
                    <w:rPr>
                      <w:rStyle w:val="Numeropagina"/>
                      <w:sz w:val="36"/>
                      <w:szCs w:val="36"/>
                    </w:rPr>
                    <w:t>www.ilpo55.eu</w:t>
                  </w:r>
                </w:p>
              </w:txbxContent>
            </v:textbox>
            <w10:wrap type="square"/>
          </v:rect>
        </w:pict>
      </w: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8F6942">
      <w:pPr>
        <w:pBdr>
          <w:top w:val="nil"/>
          <w:left w:val="nil"/>
          <w:bottom w:val="nil"/>
          <w:right w:val="nil"/>
          <w:between w:val="nil"/>
        </w:pBdr>
        <w:tabs>
          <w:tab w:val="left" w:pos="1872"/>
        </w:tabs>
      </w:pPr>
    </w:p>
    <w:p w:rsidR="008F6942" w:rsidRDefault="00E66017">
      <w:pPr>
        <w:pStyle w:val="Titolo1"/>
        <w:pBdr>
          <w:top w:val="nil"/>
          <w:left w:val="nil"/>
          <w:bottom w:val="nil"/>
          <w:right w:val="nil"/>
          <w:between w:val="nil"/>
        </w:pBdr>
        <w:spacing w:before="240"/>
      </w:pPr>
      <w:r>
        <w:lastRenderedPageBreak/>
        <w:t>Finalità del Corso</w:t>
      </w:r>
    </w:p>
    <w:p w:rsidR="008F6942" w:rsidRDefault="008F6942">
      <w:pPr>
        <w:pBdr>
          <w:top w:val="nil"/>
          <w:left w:val="nil"/>
          <w:bottom w:val="nil"/>
          <w:right w:val="nil"/>
          <w:between w:val="nil"/>
        </w:pBdr>
        <w:tabs>
          <w:tab w:val="left" w:pos="1872"/>
        </w:tabs>
        <w:rPr>
          <w:b/>
        </w:rPr>
      </w:pPr>
    </w:p>
    <w:p w:rsidR="008F6942" w:rsidRDefault="00E66017">
      <w:pPr>
        <w:pBdr>
          <w:top w:val="nil"/>
          <w:left w:val="nil"/>
          <w:bottom w:val="nil"/>
          <w:right w:val="nil"/>
          <w:between w:val="nil"/>
        </w:pBdr>
        <w:tabs>
          <w:tab w:val="left" w:pos="1872"/>
        </w:tabs>
        <w:spacing w:line="276" w:lineRule="auto"/>
        <w:jc w:val="both"/>
      </w:pPr>
      <w:r>
        <w:t xml:space="preserve">Il corso per “formatore degli adulti” è progettato per fornire le conoscenze, abilità e competenze fondamentali per creare, erogare e valutare sessioni di formazione indirizzate a persone adulte. Il corso fornisce una panoramica che può essere contestualizzata rispetto alle esigenze del settore dei servizi finanziari. L'obiettivo principale è quello di fornire agli </w:t>
      </w:r>
      <w:r w:rsidRPr="00E66017">
        <w:t>adulti dipendenti di età superiore ai 55 anni una prospettiva professionale, dotandoli di elementi</w:t>
      </w:r>
      <w:r>
        <w:t xml:space="preserve"> essenziali necessari per collaborare con i loro colleghi in modo da garantire l'effettivo trasferimento di conoscenze, in particolare alle giovani generazioni di dipendenti del settore dei servizi finanziari.</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pPr>
      <w:r>
        <w:t>Il corso è composto dai seguenti 3 moduli:</w:t>
      </w:r>
    </w:p>
    <w:p w:rsidR="008F6942" w:rsidRDefault="00E66017">
      <w:pPr>
        <w:pBdr>
          <w:top w:val="nil"/>
          <w:left w:val="nil"/>
          <w:bottom w:val="nil"/>
          <w:right w:val="nil"/>
          <w:between w:val="nil"/>
        </w:pBdr>
        <w:tabs>
          <w:tab w:val="left" w:pos="1872"/>
        </w:tabs>
        <w:spacing w:line="276" w:lineRule="auto"/>
        <w:jc w:val="both"/>
      </w:pPr>
      <w:r>
        <w:t xml:space="preserve">  </w:t>
      </w:r>
    </w:p>
    <w:p w:rsidR="008F6942" w:rsidRPr="00E66017" w:rsidRDefault="00E66017">
      <w:pPr>
        <w:pStyle w:val="Paragrafoelenco"/>
        <w:numPr>
          <w:ilvl w:val="0"/>
          <w:numId w:val="1"/>
        </w:numPr>
        <w:pBdr>
          <w:top w:val="nil"/>
          <w:left w:val="nil"/>
          <w:bottom w:val="nil"/>
          <w:right w:val="nil"/>
          <w:between w:val="nil"/>
        </w:pBdr>
        <w:spacing w:line="360" w:lineRule="auto"/>
        <w:jc w:val="both"/>
        <w:rPr>
          <w:color w:val="auto"/>
        </w:rPr>
      </w:pPr>
      <w:r w:rsidRPr="00E66017">
        <w:rPr>
          <w:color w:val="auto"/>
        </w:rPr>
        <w:t>Modulo 1 : Analisi, progettazione ed erogazione dell’attività formativa (2 crediti ECVET)</w:t>
      </w:r>
    </w:p>
    <w:p w:rsidR="008F6942" w:rsidRPr="00E66017" w:rsidRDefault="00E66017">
      <w:pPr>
        <w:pStyle w:val="Paragrafoelenco"/>
        <w:numPr>
          <w:ilvl w:val="0"/>
          <w:numId w:val="1"/>
        </w:numPr>
        <w:pBdr>
          <w:top w:val="nil"/>
          <w:left w:val="nil"/>
          <w:bottom w:val="nil"/>
          <w:right w:val="nil"/>
          <w:between w:val="nil"/>
        </w:pBdr>
        <w:spacing w:line="360" w:lineRule="auto"/>
        <w:jc w:val="both"/>
        <w:rPr>
          <w:rStyle w:val="Numeropagina"/>
          <w:color w:val="auto"/>
          <w:lang w:val="en-US"/>
        </w:rPr>
      </w:pPr>
      <w:r w:rsidRPr="00E66017">
        <w:rPr>
          <w:color w:val="auto"/>
          <w:lang w:val="en-US"/>
        </w:rPr>
        <w:t xml:space="preserve">Modulo 2 : </w:t>
      </w:r>
      <w:r w:rsidRPr="00E66017">
        <w:rPr>
          <w:rStyle w:val="Numeropagina"/>
          <w:color w:val="auto"/>
          <w:lang w:val="en-US"/>
        </w:rPr>
        <w:t xml:space="preserve">Technology Enhanced Learning, </w:t>
      </w:r>
      <w:r w:rsidRPr="00E66017">
        <w:rPr>
          <w:color w:val="auto"/>
          <w:lang w:val="en-US"/>
        </w:rPr>
        <w:t xml:space="preserve">TEL (2 </w:t>
      </w:r>
      <w:proofErr w:type="spellStart"/>
      <w:r w:rsidRPr="00E66017">
        <w:rPr>
          <w:color w:val="auto"/>
          <w:lang w:val="en-US"/>
        </w:rPr>
        <w:t>crediti</w:t>
      </w:r>
      <w:proofErr w:type="spellEnd"/>
      <w:r w:rsidRPr="00E66017">
        <w:rPr>
          <w:color w:val="auto"/>
          <w:lang w:val="en-US"/>
        </w:rPr>
        <w:t xml:space="preserve"> ECVET) </w:t>
      </w:r>
    </w:p>
    <w:p w:rsidR="008F6942" w:rsidRPr="00E66017" w:rsidRDefault="00E66017">
      <w:pPr>
        <w:pStyle w:val="Paragrafoelenco"/>
        <w:numPr>
          <w:ilvl w:val="0"/>
          <w:numId w:val="1"/>
        </w:numPr>
        <w:pBdr>
          <w:top w:val="nil"/>
          <w:left w:val="nil"/>
          <w:bottom w:val="nil"/>
          <w:right w:val="nil"/>
          <w:between w:val="nil"/>
        </w:pBdr>
        <w:spacing w:line="360" w:lineRule="auto"/>
        <w:jc w:val="both"/>
        <w:rPr>
          <w:color w:val="auto"/>
        </w:rPr>
      </w:pPr>
      <w:r w:rsidRPr="00E66017">
        <w:rPr>
          <w:color w:val="auto"/>
        </w:rPr>
        <w:t>Modulo 3 : Attività di mentoring (2 crediti ECVET)</w:t>
      </w:r>
    </w:p>
    <w:p w:rsidR="008F6942" w:rsidRDefault="008F6942">
      <w:pPr>
        <w:pBdr>
          <w:top w:val="nil"/>
          <w:left w:val="nil"/>
          <w:bottom w:val="nil"/>
          <w:right w:val="nil"/>
          <w:between w:val="nil"/>
        </w:pBdr>
        <w:tabs>
          <w:tab w:val="left" w:pos="1872"/>
        </w:tabs>
        <w:spacing w:line="360" w:lineRule="auto"/>
        <w:jc w:val="both"/>
        <w:rPr>
          <w:b/>
        </w:rPr>
      </w:pPr>
    </w:p>
    <w:p w:rsidR="008F6942" w:rsidRDefault="00E66017">
      <w:pPr>
        <w:pBdr>
          <w:top w:val="nil"/>
          <w:left w:val="nil"/>
          <w:bottom w:val="nil"/>
          <w:right w:val="nil"/>
          <w:between w:val="nil"/>
        </w:pBdr>
        <w:tabs>
          <w:tab w:val="left" w:pos="1872"/>
        </w:tabs>
        <w:spacing w:line="360" w:lineRule="auto"/>
        <w:jc w:val="both"/>
      </w:pPr>
      <w:r>
        <w:t>I moduli possono essere conseguiti individualmente e possono essere personalizzati a seconda delle esigenze dell’ organizzazione che opera nel campo dei servizi finanziari. Segue la descrizione di ciascun modulo.</w:t>
      </w:r>
    </w:p>
    <w:p w:rsidR="008F6942" w:rsidRDefault="008F6942">
      <w:pPr>
        <w:pBdr>
          <w:top w:val="nil"/>
          <w:left w:val="nil"/>
          <w:bottom w:val="nil"/>
          <w:right w:val="nil"/>
          <w:between w:val="nil"/>
        </w:pBdr>
        <w:tabs>
          <w:tab w:val="left" w:pos="1872"/>
        </w:tabs>
        <w:spacing w:line="360" w:lineRule="auto"/>
        <w:jc w:val="both"/>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Style w:val="Titolo1"/>
        <w:pBdr>
          <w:top w:val="nil"/>
          <w:left w:val="nil"/>
          <w:bottom w:val="nil"/>
          <w:right w:val="nil"/>
          <w:between w:val="nil"/>
        </w:pBdr>
        <w:spacing w:before="240"/>
      </w:pPr>
    </w:p>
    <w:p w:rsidR="008F6942" w:rsidRDefault="008F6942">
      <w:pPr>
        <w:pBdr>
          <w:top w:val="nil"/>
          <w:left w:val="nil"/>
          <w:bottom w:val="nil"/>
          <w:right w:val="nil"/>
          <w:between w:val="nil"/>
        </w:pBdr>
      </w:pPr>
    </w:p>
    <w:p w:rsidR="008F6942" w:rsidRDefault="008F6942">
      <w:pPr>
        <w:pBdr>
          <w:top w:val="nil"/>
          <w:left w:val="nil"/>
          <w:bottom w:val="nil"/>
          <w:right w:val="nil"/>
          <w:between w:val="nil"/>
        </w:pBdr>
      </w:pPr>
    </w:p>
    <w:p w:rsidR="008F6942" w:rsidRDefault="00E66017">
      <w:pPr>
        <w:pStyle w:val="Titolo1"/>
        <w:pBdr>
          <w:top w:val="nil"/>
          <w:left w:val="nil"/>
          <w:bottom w:val="nil"/>
          <w:right w:val="nil"/>
          <w:between w:val="nil"/>
        </w:pBdr>
        <w:spacing w:before="240"/>
      </w:pPr>
      <w:r>
        <w:lastRenderedPageBreak/>
        <w:t>Descrizione dei moduli</w:t>
      </w:r>
    </w:p>
    <w:p w:rsidR="008F6942" w:rsidRDefault="008F6942">
      <w:pPr>
        <w:pStyle w:val="Titolo2"/>
        <w:pBdr>
          <w:top w:val="nil"/>
          <w:left w:val="nil"/>
          <w:bottom w:val="nil"/>
          <w:right w:val="nil"/>
          <w:between w:val="nil"/>
        </w:pBdr>
        <w:spacing w:before="40"/>
      </w:pPr>
    </w:p>
    <w:p w:rsidR="008F6942" w:rsidRDefault="00E66017">
      <w:pPr>
        <w:pStyle w:val="Titolo2"/>
        <w:pBdr>
          <w:top w:val="nil"/>
          <w:left w:val="nil"/>
          <w:bottom w:val="nil"/>
          <w:right w:val="nil"/>
          <w:between w:val="nil"/>
        </w:pBdr>
        <w:spacing w:before="40"/>
        <w:rPr>
          <w:rStyle w:val="Numeropagina"/>
        </w:rPr>
      </w:pPr>
      <w:r>
        <w:rPr>
          <w:rStyle w:val="Numeropagina"/>
        </w:rPr>
        <w:t xml:space="preserve">Modulo 1: Analisi, progettazione  ed  </w:t>
      </w:r>
      <w:r w:rsidRPr="00E66017">
        <w:rPr>
          <w:rStyle w:val="Numeropagina"/>
        </w:rPr>
        <w:t>erogazione</w:t>
      </w:r>
      <w:r>
        <w:rPr>
          <w:rStyle w:val="Numeropagina"/>
        </w:rPr>
        <w:t xml:space="preserve"> dell’ attività formativa</w:t>
      </w:r>
    </w:p>
    <w:p w:rsidR="008F6942" w:rsidRPr="00E66017" w:rsidRDefault="008F6942" w:rsidP="00E66017">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rPr>
          <w:rStyle w:val="Numeropagina"/>
          <w:shd w:val="clear" w:color="000000" w:fill="FFFF00"/>
        </w:rPr>
      </w:pPr>
      <w:r w:rsidRPr="00E66017">
        <w:rPr>
          <w:color w:val="auto"/>
        </w:rPr>
        <w:t>Il modulo è volto ad esaminare gli aspetti chiave relativi alla pianificazione, la progettazione e l’erogazione delle attività di formazione. L’obiettivo principale è quello di  mostrare agli allievi lo scopo della formazione all'interno di un’ organizzazione, e indicare gli elementi che devono essere presi in considerazione per progettare la formazione stessa.</w:t>
      </w:r>
      <w:r>
        <w:t xml:space="preserve"> È importante che il formatore adulto comprenda le esigenze educative del discente, pena l’efficacia della formazione. Quando si lavora con degli allievi adulti, gli educatori ed i formatori hanno bisogno di adottare un approccio diverso che tenga conto delle particolari caratteristiche di questi ultimi.</w:t>
      </w:r>
    </w:p>
    <w:p w:rsidR="008F6942" w:rsidRDefault="008F6942">
      <w:pPr>
        <w:pBdr>
          <w:top w:val="nil"/>
          <w:left w:val="nil"/>
          <w:bottom w:val="nil"/>
          <w:right w:val="nil"/>
          <w:between w:val="nil"/>
        </w:pBdr>
        <w:tabs>
          <w:tab w:val="left" w:pos="1872"/>
        </w:tabs>
        <w:spacing w:line="276" w:lineRule="auto"/>
        <w:jc w:val="both"/>
        <w:rPr>
          <w:rStyle w:val="Numeropagina"/>
          <w:shd w:val="clear" w:color="000000" w:fill="FFFF00"/>
        </w:rPr>
      </w:pPr>
    </w:p>
    <w:p w:rsidR="008F6942" w:rsidRDefault="00E66017">
      <w:pPr>
        <w:pBdr>
          <w:top w:val="nil"/>
          <w:left w:val="nil"/>
          <w:bottom w:val="nil"/>
          <w:right w:val="nil"/>
          <w:between w:val="nil"/>
        </w:pBdr>
        <w:tabs>
          <w:tab w:val="left" w:pos="1872"/>
        </w:tabs>
        <w:spacing w:line="276" w:lineRule="auto"/>
        <w:jc w:val="both"/>
        <w:rPr>
          <w:rStyle w:val="Numeropagina"/>
        </w:rPr>
      </w:pPr>
      <w:r>
        <w:t xml:space="preserve">Come affermato da Knowles (1980), gli adulti sono molto più volenterosi nell’ </w:t>
      </w:r>
      <w:r w:rsidRPr="00A57603">
        <w:rPr>
          <w:color w:val="auto"/>
        </w:rPr>
        <w:t>apprendimento. Di conseguenza, è fondamentale che i formatori degli adulti, compresi i formatori in azienda, siano</w:t>
      </w:r>
      <w:r>
        <w:t xml:space="preserve"> informati sulle caratteristiche che contraddistinguono un discente adulto. Questo modulo permetterà quindi di esaminare i principali presupposti e principi dell’andragogia (descritta come l'arte di insegnare agli adulti) nonché le implicazioni pratiche.</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pPr>
      <w:r>
        <w:rPr>
          <w:rStyle w:val="Numeropagina"/>
        </w:rPr>
        <w:t>Attraverso</w:t>
      </w:r>
      <w:r>
        <w:t xml:space="preserve"> questo modulo l’allievo verrà a conoscenza di  metodi che potranno essere utilizzati per stabilire tali esigenze. Il formatore adulto esperto lavorerà con diversi gruppi e con persone </w:t>
      </w:r>
      <w:r w:rsidR="00A57603">
        <w:t xml:space="preserve">con diversa esperienza professionale. </w:t>
      </w:r>
      <w:r>
        <w:t>Di conseguenza, l'allievo sarà guidato alla preparazione effettiva del materiale formativo, in modo da garantire un approccio alla formazione positivo e fruttuoso, attraverso diversi metodi didattici. Inoltre</w:t>
      </w:r>
      <w:r w:rsidR="008603C9">
        <w:t>,</w:t>
      </w:r>
      <w:bookmarkStart w:id="0" w:name="_GoBack"/>
      <w:bookmarkEnd w:id="0"/>
      <w:r>
        <w:t xml:space="preserve"> l’allievo sarà formato in merito ad approcci e metodologie </w:t>
      </w:r>
      <w:r w:rsidR="00A57603">
        <w:t xml:space="preserve">relative all’erogazione della formazione </w:t>
      </w:r>
      <w:r>
        <w:t>prendendo in considerazione le esigenze del gruppo e dell'organizzazione di riferimento.</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rPr>
          <w:color w:val="FF0000"/>
        </w:rPr>
      </w:pPr>
      <w:r>
        <w:t xml:space="preserve">L'apprendimento non si limita ad acquisire conoscenze e competenze attraverso la formazione. Per dimostrare il raggiungimento dei risultati </w:t>
      </w:r>
      <w:r>
        <w:rPr>
          <w:rStyle w:val="Numeropagina"/>
        </w:rPr>
        <w:t>dell’apprendimento</w:t>
      </w:r>
      <w:r>
        <w:t xml:space="preserve"> è altresì necessario considerare la valutazione e le relative evidenze richieste. La valutazione può assumere diverse forme i.e .: formativa; sommativa; formale; informale; etc. Attraverso questo modulo gli allievi esploreranno questi diversi tipi di valutazione e come possono essere applicati all'interno di un contesto </w:t>
      </w:r>
      <w:r w:rsidRPr="00A57603">
        <w:t>educativo</w:t>
      </w:r>
      <w:r>
        <w:t xml:space="preserve"> </w:t>
      </w:r>
      <w:r w:rsidR="00A57603">
        <w:t xml:space="preserve">degli </w:t>
      </w:r>
      <w:r w:rsidR="00A57603" w:rsidRPr="00A57603">
        <w:t>adulti.</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rPr>
          <w:rStyle w:val="Numeropagina"/>
          <w:color w:val="FF2600"/>
        </w:rPr>
      </w:pPr>
      <w:r>
        <w:t xml:space="preserve">Mentre gli aspetti chiave discussi precedentemente sono applicabili a diversi settori dell’economia, </w:t>
      </w:r>
      <w:r>
        <w:rPr>
          <w:rStyle w:val="Numeropagina"/>
        </w:rPr>
        <w:t>questo modulo sarà contestualizzato alle caratteristiche del settore dei servizio finanziari</w:t>
      </w:r>
    </w:p>
    <w:p w:rsidR="008F6942" w:rsidRDefault="008F6942">
      <w:pPr>
        <w:pBdr>
          <w:top w:val="nil"/>
          <w:left w:val="nil"/>
          <w:bottom w:val="nil"/>
          <w:right w:val="nil"/>
          <w:between w:val="nil"/>
        </w:pBdr>
        <w:tabs>
          <w:tab w:val="left" w:pos="1872"/>
        </w:tabs>
        <w:spacing w:line="360" w:lineRule="auto"/>
        <w:jc w:val="both"/>
        <w:rPr>
          <w:b/>
        </w:rPr>
      </w:pPr>
    </w:p>
    <w:p w:rsidR="008F6942" w:rsidRDefault="008F6942">
      <w:pPr>
        <w:pBdr>
          <w:top w:val="nil"/>
          <w:left w:val="nil"/>
          <w:bottom w:val="nil"/>
          <w:right w:val="nil"/>
          <w:between w:val="nil"/>
        </w:pBdr>
        <w:tabs>
          <w:tab w:val="left" w:pos="1872"/>
        </w:tabs>
        <w:spacing w:line="360" w:lineRule="auto"/>
        <w:jc w:val="both"/>
        <w:rPr>
          <w:b/>
        </w:rPr>
      </w:pPr>
    </w:p>
    <w:p w:rsidR="008F6942" w:rsidRDefault="00E66017">
      <w:pPr>
        <w:pStyle w:val="Titolo2"/>
        <w:pBdr>
          <w:top w:val="nil"/>
          <w:left w:val="nil"/>
          <w:bottom w:val="nil"/>
          <w:right w:val="nil"/>
          <w:between w:val="nil"/>
        </w:pBdr>
        <w:spacing w:before="40"/>
        <w:rPr>
          <w:rStyle w:val="Numeropagina"/>
          <w:color w:val="FF2600"/>
        </w:rPr>
      </w:pPr>
      <w:r>
        <w:rPr>
          <w:rStyle w:val="Numeropagina"/>
        </w:rPr>
        <w:t>Modulo 2: TEL: Technology Enhanced Learning</w:t>
      </w:r>
    </w:p>
    <w:p w:rsidR="008F6942" w:rsidRDefault="008F6942">
      <w:pPr>
        <w:pBdr>
          <w:top w:val="nil"/>
          <w:left w:val="nil"/>
          <w:bottom w:val="nil"/>
          <w:right w:val="nil"/>
          <w:between w:val="nil"/>
        </w:pBdr>
      </w:pPr>
    </w:p>
    <w:p w:rsidR="008F6942" w:rsidRDefault="00E66017">
      <w:pPr>
        <w:pBdr>
          <w:top w:val="nil"/>
          <w:left w:val="nil"/>
          <w:bottom w:val="nil"/>
          <w:right w:val="nil"/>
          <w:between w:val="nil"/>
        </w:pBdr>
        <w:tabs>
          <w:tab w:val="left" w:pos="1872"/>
        </w:tabs>
        <w:spacing w:line="276" w:lineRule="auto"/>
        <w:jc w:val="both"/>
      </w:pPr>
      <w:r>
        <w:t>La diffusione della tecnologia e dell’apprendimento on-line ha creato per i formatori una ricchezza di opportunità per semplificare il processo di apprendimento. Tutto ciò è di grande rilevanza considerando anche la formazione sul posto di lavoro e l’ apprendimento degli adulti. Questo modulo illustrerà agli allievi i metodi e le tecniche che possono essere utilizzate per completare l’offerta formativa.</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pPr>
      <w:r>
        <w:t>Questo va al di là dell’utilizzo di diapositive durante una lezione in un ambiente di apprendimento tradizionale. L’apprendimento e la formazione possono avvenire attraverso una varietà di scenari tra cui ambienti di apprendimento virtuali (AAV) e sistemi per la gestione dell’apprendimento (SGA) che facilitano il coordinamento di contenuti utilizzati per l'apprendimento virtuale e quello misto (in aula e virtuale). Questo modulo  permette di comprendere come le tecnologie dell'informazione e della comunicazione promuovono le interazioni tra gli allievi stessi così come del formatore adulto all'interno di diversi contesti dell’ apprendimento. Attraverso l'uso di AAV, SGA, e simili strumenti di collaborazione virtuali, gli allievi avranno la possibilità di accedere ai contenuti dell’ apprendimento da remoto, e di partecipare ad attività di formazione in qualunque luogo e in qualsiasi momento solo attraverso una connessione internet. L'utilizzo della tecnologia nei sistemi di apprendimento permette di ridefinire i ruoli degli allievi e dei formatori; gli allievi ricevono un maggiore controllo sul loro processo di apprendimento ed i formatori acquisiscono il ruolo di guide e/o facilitatori.</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pPr>
      <w:r>
        <w:t>Questo modulo permetterà inoltre di prendere in considerazione l'uso di altri strumenti di tipo tecnologico e consentirà agli allievi di comprendere come utilizzare e applicarli correttamente. E’ comprensibile che alcuni individui, specialmente allievi adulti, potrebbero sentirsi intimiditi dall'uso della tecnologia nel campo dell’istruzione (ai fini dell’apprendimento). Questo modulo metterà inoltre a disposizione diversi metodi per  poter superare questa difficoltà.</w:t>
      </w:r>
    </w:p>
    <w:p w:rsidR="008F6942" w:rsidRDefault="008F6942">
      <w:pPr>
        <w:pBdr>
          <w:top w:val="nil"/>
          <w:left w:val="nil"/>
          <w:bottom w:val="nil"/>
          <w:right w:val="nil"/>
          <w:between w:val="nil"/>
        </w:pBdr>
        <w:tabs>
          <w:tab w:val="left" w:pos="1872"/>
        </w:tabs>
        <w:spacing w:line="276" w:lineRule="auto"/>
        <w:jc w:val="both"/>
        <w:rPr>
          <w:b/>
        </w:rPr>
      </w:pPr>
    </w:p>
    <w:p w:rsidR="008F6942" w:rsidRDefault="008F6942">
      <w:pPr>
        <w:pStyle w:val="Titolo2"/>
        <w:pBdr>
          <w:top w:val="nil"/>
          <w:left w:val="nil"/>
          <w:bottom w:val="nil"/>
          <w:right w:val="nil"/>
          <w:between w:val="nil"/>
        </w:pBdr>
        <w:spacing w:before="40"/>
      </w:pPr>
    </w:p>
    <w:p w:rsidR="008F6942" w:rsidRDefault="00E66017">
      <w:pPr>
        <w:pStyle w:val="Titolo2"/>
        <w:pBdr>
          <w:top w:val="nil"/>
          <w:left w:val="nil"/>
          <w:bottom w:val="nil"/>
          <w:right w:val="nil"/>
          <w:between w:val="nil"/>
        </w:pBdr>
        <w:spacing w:before="40"/>
        <w:rPr>
          <w:rStyle w:val="Numeropagina"/>
        </w:rPr>
      </w:pPr>
      <w:r>
        <w:rPr>
          <w:rStyle w:val="Numeropagina"/>
        </w:rPr>
        <w:t>Modulo 3: Attività di mentoring</w:t>
      </w:r>
    </w:p>
    <w:p w:rsidR="008F6942" w:rsidRDefault="008F6942">
      <w:pPr>
        <w:pBdr>
          <w:top w:val="nil"/>
          <w:left w:val="nil"/>
          <w:bottom w:val="nil"/>
          <w:right w:val="nil"/>
          <w:between w:val="nil"/>
        </w:pBdr>
      </w:pPr>
    </w:p>
    <w:p w:rsidR="008F6942" w:rsidRDefault="00E66017">
      <w:pPr>
        <w:pBdr>
          <w:top w:val="nil"/>
          <w:left w:val="nil"/>
          <w:bottom w:val="nil"/>
          <w:right w:val="nil"/>
          <w:between w:val="nil"/>
        </w:pBdr>
        <w:tabs>
          <w:tab w:val="left" w:pos="1872"/>
        </w:tabs>
        <w:spacing w:line="276" w:lineRule="auto"/>
        <w:jc w:val="both"/>
      </w:pPr>
      <w:r>
        <w:rPr>
          <w:rStyle w:val="Numeropagina"/>
        </w:rPr>
        <w:t>Le attività di tutoring e mentoring sono state riconosciute come abilità importanti per il formatore adulto esperto nel contesto di apprendimento intergenerazionale nel settore dei servizi finanziari. In particolare, la nozione di mentoring può essere paragonata ad un processo di apprendimento dove, pur concentrandosi sul risultato, vengono costruite utili e reciproche relazioni personali (Premkunar 2007). Può anche essere considerata come una relazione basata sull’apprendimento che affonda le sue radici nei principi dell’ apprendimento degli adulti.</w:t>
      </w:r>
    </w:p>
    <w:p w:rsidR="008F6942" w:rsidRDefault="008F6942">
      <w:pPr>
        <w:pBdr>
          <w:top w:val="nil"/>
          <w:left w:val="nil"/>
          <w:bottom w:val="nil"/>
          <w:right w:val="nil"/>
          <w:between w:val="nil"/>
        </w:pBdr>
        <w:tabs>
          <w:tab w:val="left" w:pos="1872"/>
        </w:tabs>
        <w:spacing w:line="276" w:lineRule="auto"/>
        <w:jc w:val="both"/>
      </w:pPr>
    </w:p>
    <w:p w:rsidR="008F6942" w:rsidRDefault="00E66017">
      <w:pPr>
        <w:pBdr>
          <w:top w:val="nil"/>
          <w:left w:val="nil"/>
          <w:bottom w:val="nil"/>
          <w:right w:val="nil"/>
          <w:between w:val="nil"/>
        </w:pBdr>
        <w:tabs>
          <w:tab w:val="left" w:pos="1872"/>
        </w:tabs>
        <w:spacing w:line="276" w:lineRule="auto"/>
        <w:jc w:val="both"/>
      </w:pPr>
      <w:r>
        <w:t xml:space="preserve">Le attività di tutoring e mentoring hanno come scopo anche quello della creazione di un ambiente sicuro e confortevole, per poter sviluppare le potenzialità del dipendente che viene guidato nel processo di apprendimento. A questo proposito questo modulo prenderà in esame il ruolo dell’attività di mentoring connesso al processo di apprendimento, in particolare l'identificazione dei fabbisogni individuali. Questo modulo illustrerà </w:t>
      </w:r>
      <w:r>
        <w:rPr>
          <w:rStyle w:val="Numeropagina"/>
        </w:rPr>
        <w:t>agli</w:t>
      </w:r>
      <w:r>
        <w:t xml:space="preserve"> allievi </w:t>
      </w:r>
      <w:r>
        <w:rPr>
          <w:rStyle w:val="Numeropagina"/>
        </w:rPr>
        <w:t>gli elementi da tenere in considerazione nel ruolo delle figure del tutor e del mentore</w:t>
      </w:r>
      <w:r>
        <w:t>. Agli allievi verranno mostrati modelli riflettenti e competenti per l’attività di tutoring e mentoring nonchè il procedimento per costruire relazioni efficaci tra il mentore e l’allievo.</w:t>
      </w:r>
    </w:p>
    <w:p w:rsidR="008F6942" w:rsidRDefault="008F6942">
      <w:pPr>
        <w:pBdr>
          <w:top w:val="nil"/>
          <w:left w:val="nil"/>
          <w:bottom w:val="nil"/>
          <w:right w:val="nil"/>
          <w:between w:val="nil"/>
        </w:pBdr>
        <w:tabs>
          <w:tab w:val="left" w:pos="1872"/>
        </w:tabs>
        <w:spacing w:line="276" w:lineRule="auto"/>
        <w:jc w:val="both"/>
      </w:pPr>
    </w:p>
    <w:sectPr w:rsidR="008F6942" w:rsidSect="008F6942">
      <w:headerReference w:type="default" r:id="rId10"/>
      <w:footerReference w:type="default" r:id="rId11"/>
      <w:headerReference w:type="first" r:id="rId12"/>
      <w:footerReference w:type="first" r:id="rId13"/>
      <w:pgSz w:w="11900" w:h="16840"/>
      <w:pgMar w:top="1440" w:right="1440" w:bottom="1440" w:left="1440" w:header="708" w:footer="708"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017" w:rsidRDefault="00E66017" w:rsidP="008F6942">
      <w:r>
        <w:separator/>
      </w:r>
    </w:p>
  </w:endnote>
  <w:endnote w:type="continuationSeparator" w:id="0">
    <w:p w:rsidR="00E66017" w:rsidRDefault="00E66017" w:rsidP="008F6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017" w:rsidRDefault="008603C9">
    <w:pPr>
      <w:pStyle w:val="Pidipagina"/>
      <w:pBdr>
        <w:top w:val="nil"/>
        <w:left w:val="nil"/>
        <w:bottom w:val="nil"/>
        <w:right w:val="nil"/>
        <w:between w:val="nil"/>
      </w:pBdr>
      <w:tabs>
        <w:tab w:val="right" w:pos="9000"/>
      </w:tabs>
      <w:jc w:val="right"/>
    </w:pPr>
    <w:r>
      <w:fldChar w:fldCharType="begin"/>
    </w:r>
    <w:r>
      <w:instrText>PAGE  \* MERGEFORMAT</w:instrText>
    </w:r>
    <w:r>
      <w:fldChar w:fldCharType="separate"/>
    </w:r>
    <w:r>
      <w:rPr>
        <w:noProof/>
      </w:rPr>
      <w:t>4</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017" w:rsidRDefault="00E66017">
    <w:pPr>
      <w:pStyle w:val="Intestazioneepidipagina"/>
      <w:pBdr>
        <w:top w:val="nil"/>
        <w:left w:val="nil"/>
        <w:bottom w:val="nil"/>
        <w:right w:val="nil"/>
        <w:between w:val="nil"/>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017" w:rsidRDefault="00E66017" w:rsidP="008F6942">
      <w:r>
        <w:separator/>
      </w:r>
    </w:p>
  </w:footnote>
  <w:footnote w:type="continuationSeparator" w:id="0">
    <w:p w:rsidR="00E66017" w:rsidRDefault="00E66017" w:rsidP="008F69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017" w:rsidRDefault="008603C9">
    <w:pPr>
      <w:pStyle w:val="Intestazione"/>
      <w:pBdr>
        <w:top w:val="nil"/>
        <w:left w:val="nil"/>
        <w:bottom w:val="nil"/>
        <w:right w:val="nil"/>
        <w:between w:val="nil"/>
      </w:pBdr>
      <w:tabs>
        <w:tab w:val="right" w:pos="9000"/>
      </w:tabs>
    </w:pPr>
    <w:r>
      <w:rPr>
        <w:sz w:val="20"/>
      </w:rPr>
      <w:pict>
        <v:rect id="_x0000_s1026" style="position:absolute;margin-left:25pt;margin-top:376pt;width:545pt;height:90.7pt;rotation:315;z-index:-251624962;mso-position-horizontal:absolute;mso-position-horizontal-relative:page;mso-position-vertical:absolute;mso-position-vertical-relative:page;v-text-anchor:middle" filled="f" stroked="f">
          <v:textbox inset="0,0,0,0">
            <w:txbxContent>
              <w:p w:rsidR="00E66017" w:rsidRDefault="00E66017">
                <w:pPr>
                  <w:pStyle w:val="Didascalia"/>
                  <w:pBdr>
                    <w:top w:val="nil"/>
                    <w:left w:val="nil"/>
                    <w:bottom w:val="nil"/>
                    <w:right w:val="nil"/>
                    <w:between w:val="nil"/>
                  </w:pBdr>
                  <w:tabs>
                    <w:tab w:val="left" w:pos="1440"/>
                    <w:tab w:val="left" w:pos="2880"/>
                    <w:tab w:val="left" w:pos="4320"/>
                    <w:tab w:val="left" w:pos="5760"/>
                    <w:tab w:val="left" w:pos="7200"/>
                    <w:tab w:val="left" w:pos="8640"/>
                    <w:tab w:val="left" w:pos="10080"/>
                  </w:tabs>
                  <w:outlineLvl w:val="0"/>
                </w:pPr>
                <w:r>
                  <w:rPr>
                    <w:color w:val="C0C0C0"/>
                    <w:sz w:val="180"/>
                    <w:szCs w:val="180"/>
                  </w:rPr>
                  <w:t>PILOT  Phase</w:t>
                </w:r>
              </w:p>
            </w:txbxContent>
          </v:textbox>
          <w10:wrap anchorx="page" anchory="page"/>
        </v:rec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017" w:rsidRDefault="008603C9">
    <w:pPr>
      <w:pStyle w:val="Intestazione"/>
      <w:pBdr>
        <w:top w:val="nil"/>
        <w:left w:val="nil"/>
        <w:bottom w:val="nil"/>
        <w:right w:val="nil"/>
        <w:between w:val="nil"/>
      </w:pBdr>
      <w:tabs>
        <w:tab w:val="right" w:pos="9000"/>
      </w:tabs>
    </w:pPr>
    <w:r>
      <w:rPr>
        <w:sz w:val="20"/>
      </w:rPr>
      <w:pict>
        <v:rect id="_x0000_s1025" style="position:absolute;margin-left:25pt;margin-top:376pt;width:545pt;height:90.7pt;rotation:315;z-index:-251624961;mso-position-horizontal:absolute;mso-position-horizontal-relative:page;mso-position-vertical:absolute;mso-position-vertical-relative:page;v-text-anchor:middle" filled="f" stroked="f">
          <v:textbox inset="0,0,0,0">
            <w:txbxContent>
              <w:p w:rsidR="00E66017" w:rsidRDefault="00E66017">
                <w:pPr>
                  <w:pStyle w:val="Didascalia"/>
                  <w:pBdr>
                    <w:top w:val="nil"/>
                    <w:left w:val="nil"/>
                    <w:bottom w:val="nil"/>
                    <w:right w:val="nil"/>
                    <w:between w:val="nil"/>
                  </w:pBdr>
                  <w:tabs>
                    <w:tab w:val="left" w:pos="1440"/>
                    <w:tab w:val="left" w:pos="2880"/>
                    <w:tab w:val="left" w:pos="4320"/>
                    <w:tab w:val="left" w:pos="5760"/>
                    <w:tab w:val="left" w:pos="7200"/>
                    <w:tab w:val="left" w:pos="8640"/>
                    <w:tab w:val="left" w:pos="10080"/>
                  </w:tabs>
                  <w:outlineLvl w:val="0"/>
                </w:pPr>
                <w:r>
                  <w:rPr>
                    <w:color w:val="C0C0C0"/>
                    <w:sz w:val="180"/>
                    <w:szCs w:val="180"/>
                  </w:rPr>
                  <w:t>PILOT  Phase</w:t>
                </w:r>
              </w:p>
            </w:txbxContent>
          </v:textbox>
          <w10:wrap anchorx="page" anchory="page"/>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484905BC"/>
    <w:lvl w:ilvl="0" w:tplc="C29EDCAA">
      <w:numFmt w:val="decimal"/>
      <w:lvlText w:val=""/>
      <w:lvlJc w:val="left"/>
    </w:lvl>
    <w:lvl w:ilvl="1" w:tplc="1C82FF50">
      <w:numFmt w:val="decimal"/>
      <w:lvlText w:val=""/>
      <w:lvlJc w:val="left"/>
    </w:lvl>
    <w:lvl w:ilvl="2" w:tplc="36B40F96">
      <w:numFmt w:val="decimal"/>
      <w:lvlText w:val=""/>
      <w:lvlJc w:val="left"/>
    </w:lvl>
    <w:lvl w:ilvl="3" w:tplc="2D601638">
      <w:numFmt w:val="decimal"/>
      <w:lvlText w:val=""/>
      <w:lvlJc w:val="left"/>
    </w:lvl>
    <w:lvl w:ilvl="4" w:tplc="BCFCC41C">
      <w:numFmt w:val="decimal"/>
      <w:lvlText w:val=""/>
      <w:lvlJc w:val="left"/>
    </w:lvl>
    <w:lvl w:ilvl="5" w:tplc="1BD88E4A">
      <w:numFmt w:val="decimal"/>
      <w:lvlText w:val=""/>
      <w:lvlJc w:val="left"/>
    </w:lvl>
    <w:lvl w:ilvl="6" w:tplc="2FA647C6">
      <w:numFmt w:val="decimal"/>
      <w:lvlText w:val=""/>
      <w:lvlJc w:val="left"/>
    </w:lvl>
    <w:lvl w:ilvl="7" w:tplc="DC0683F0">
      <w:numFmt w:val="decimal"/>
      <w:lvlText w:val=""/>
      <w:lvlJc w:val="left"/>
    </w:lvl>
    <w:lvl w:ilvl="8" w:tplc="F1E0B6F4">
      <w:numFmt w:val="decimal"/>
      <w:lvlText w:val=""/>
      <w:lvlJc w:val="left"/>
    </w:lvl>
  </w:abstractNum>
  <w:abstractNum w:abstractNumId="1">
    <w:nsid w:val="39BC330B"/>
    <w:multiLevelType w:val="hybridMultilevel"/>
    <w:tmpl w:val="B978AD08"/>
    <w:lvl w:ilvl="0" w:tplc="0410000D">
      <w:start w:val="1"/>
      <w:numFmt w:val="bullet"/>
      <w:lvlText w:val=""/>
      <w:lvlJc w:val="left"/>
      <w:pPr>
        <w:tabs>
          <w:tab w:val="left" w:pos="1872"/>
        </w:tabs>
        <w:ind w:left="720" w:hanging="360"/>
      </w:pPr>
      <w:rPr>
        <w:rFonts w:ascii="Wingdings" w:hAnsi="Wingdings" w:hint="default"/>
        <w:b w:val="0"/>
        <w:w w:val="100"/>
        <w:sz w:val="20"/>
        <w:szCs w:val="20"/>
        <w:highlight w:val="none"/>
        <w:shd w:val="clear" w:color="auto" w:fill="auto"/>
        <w:vertAlign w:val="subscript"/>
      </w:rPr>
    </w:lvl>
    <w:lvl w:ilvl="1" w:tplc="6A8CECEC">
      <w:start w:val="1"/>
      <w:numFmt w:val="bullet"/>
      <w:lvlText w:val="o"/>
      <w:lvlJc w:val="left"/>
      <w:pPr>
        <w:tabs>
          <w:tab w:val="left" w:pos="1872"/>
        </w:tabs>
        <w:ind w:left="1440" w:hanging="360"/>
      </w:pPr>
      <w:rPr>
        <w:rFonts w:ascii="Arial Unicode MS" w:eastAsia="Arial Unicode MS" w:hAnsi="Arial Unicode MS"/>
        <w:b w:val="0"/>
        <w:w w:val="100"/>
        <w:sz w:val="20"/>
        <w:szCs w:val="20"/>
        <w:highlight w:val="none"/>
        <w:shd w:val="clear" w:color="auto" w:fill="auto"/>
        <w:vertAlign w:val="subscript"/>
      </w:rPr>
    </w:lvl>
    <w:lvl w:ilvl="2" w:tplc="A73EA49E">
      <w:start w:val="1"/>
      <w:numFmt w:val="bullet"/>
      <w:lvlText w:val="▪"/>
      <w:lvlJc w:val="left"/>
      <w:pPr>
        <w:tabs>
          <w:tab w:val="left" w:pos="1872"/>
        </w:tabs>
        <w:ind w:left="2160" w:hanging="360"/>
      </w:pPr>
      <w:rPr>
        <w:rFonts w:ascii="Arial Unicode MS" w:eastAsia="Arial Unicode MS" w:hAnsi="Arial Unicode MS"/>
        <w:b w:val="0"/>
        <w:w w:val="100"/>
        <w:sz w:val="20"/>
        <w:szCs w:val="20"/>
        <w:highlight w:val="none"/>
        <w:shd w:val="clear" w:color="auto" w:fill="auto"/>
        <w:vertAlign w:val="subscript"/>
      </w:rPr>
    </w:lvl>
    <w:lvl w:ilvl="3" w:tplc="ADA2D4F4">
      <w:start w:val="1"/>
      <w:numFmt w:val="bullet"/>
      <w:lvlText w:val="•"/>
      <w:lvlJc w:val="left"/>
      <w:pPr>
        <w:tabs>
          <w:tab w:val="left" w:pos="1872"/>
        </w:tabs>
        <w:ind w:left="2880" w:hanging="360"/>
      </w:pPr>
      <w:rPr>
        <w:rFonts w:ascii="Symbol" w:eastAsia="Symbol" w:hAnsi="Symbol"/>
        <w:b w:val="0"/>
        <w:w w:val="100"/>
        <w:sz w:val="20"/>
        <w:szCs w:val="20"/>
        <w:highlight w:val="none"/>
        <w:shd w:val="clear" w:color="auto" w:fill="auto"/>
        <w:vertAlign w:val="subscript"/>
      </w:rPr>
    </w:lvl>
    <w:lvl w:ilvl="4" w:tplc="4DE0DDDC">
      <w:start w:val="1"/>
      <w:numFmt w:val="bullet"/>
      <w:lvlText w:val="o"/>
      <w:lvlJc w:val="left"/>
      <w:pPr>
        <w:tabs>
          <w:tab w:val="left" w:pos="1872"/>
        </w:tabs>
        <w:ind w:left="3600" w:hanging="360"/>
      </w:pPr>
      <w:rPr>
        <w:rFonts w:ascii="Arial Unicode MS" w:eastAsia="Arial Unicode MS" w:hAnsi="Arial Unicode MS"/>
        <w:b w:val="0"/>
        <w:w w:val="100"/>
        <w:sz w:val="20"/>
        <w:szCs w:val="20"/>
        <w:highlight w:val="none"/>
        <w:shd w:val="clear" w:color="auto" w:fill="auto"/>
        <w:vertAlign w:val="subscript"/>
      </w:rPr>
    </w:lvl>
    <w:lvl w:ilvl="5" w:tplc="D690E7F0">
      <w:start w:val="1"/>
      <w:numFmt w:val="bullet"/>
      <w:lvlText w:val="▪"/>
      <w:lvlJc w:val="left"/>
      <w:pPr>
        <w:tabs>
          <w:tab w:val="left" w:pos="1872"/>
        </w:tabs>
        <w:ind w:left="4320" w:hanging="360"/>
      </w:pPr>
      <w:rPr>
        <w:rFonts w:ascii="Arial Unicode MS" w:eastAsia="Arial Unicode MS" w:hAnsi="Arial Unicode MS"/>
        <w:b w:val="0"/>
        <w:w w:val="100"/>
        <w:sz w:val="20"/>
        <w:szCs w:val="20"/>
        <w:highlight w:val="none"/>
        <w:shd w:val="clear" w:color="auto" w:fill="auto"/>
        <w:vertAlign w:val="subscript"/>
      </w:rPr>
    </w:lvl>
    <w:lvl w:ilvl="6" w:tplc="6FEADEEE">
      <w:start w:val="1"/>
      <w:numFmt w:val="bullet"/>
      <w:lvlText w:val="•"/>
      <w:lvlJc w:val="left"/>
      <w:pPr>
        <w:tabs>
          <w:tab w:val="left" w:pos="1872"/>
        </w:tabs>
        <w:ind w:left="5040" w:hanging="360"/>
      </w:pPr>
      <w:rPr>
        <w:rFonts w:ascii="Symbol" w:eastAsia="Symbol" w:hAnsi="Symbol"/>
        <w:b w:val="0"/>
        <w:w w:val="100"/>
        <w:sz w:val="20"/>
        <w:szCs w:val="20"/>
        <w:highlight w:val="none"/>
        <w:shd w:val="clear" w:color="auto" w:fill="auto"/>
        <w:vertAlign w:val="subscript"/>
      </w:rPr>
    </w:lvl>
    <w:lvl w:ilvl="7" w:tplc="10C47580">
      <w:start w:val="1"/>
      <w:numFmt w:val="bullet"/>
      <w:lvlText w:val="o"/>
      <w:lvlJc w:val="left"/>
      <w:pPr>
        <w:tabs>
          <w:tab w:val="left" w:pos="1872"/>
        </w:tabs>
        <w:ind w:left="5760" w:hanging="360"/>
      </w:pPr>
      <w:rPr>
        <w:rFonts w:ascii="Arial Unicode MS" w:eastAsia="Arial Unicode MS" w:hAnsi="Arial Unicode MS"/>
        <w:b w:val="0"/>
        <w:w w:val="100"/>
        <w:sz w:val="20"/>
        <w:szCs w:val="20"/>
        <w:highlight w:val="none"/>
        <w:shd w:val="clear" w:color="auto" w:fill="auto"/>
        <w:vertAlign w:val="subscript"/>
      </w:rPr>
    </w:lvl>
    <w:lvl w:ilvl="8" w:tplc="339E86D8">
      <w:start w:val="1"/>
      <w:numFmt w:val="bullet"/>
      <w:lvlText w:val="▪"/>
      <w:lvlJc w:val="left"/>
      <w:pPr>
        <w:tabs>
          <w:tab w:val="left" w:pos="1872"/>
        </w:tabs>
        <w:ind w:left="6480" w:hanging="360"/>
      </w:pPr>
      <w:rPr>
        <w:rFonts w:ascii="Arial Unicode MS" w:eastAsia="Arial Unicode MS" w:hAnsi="Arial Unicode MS"/>
        <w:b w:val="0"/>
        <w:w w:val="100"/>
        <w:sz w:val="20"/>
        <w:szCs w:val="20"/>
        <w:highlight w:val="none"/>
        <w:shd w:val="clear" w:color="auto" w:fill="auto"/>
        <w:vertAlign w:val="subscrip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283"/>
  <w:displayHorizontalDrawingGridEvery w:val="0"/>
  <w:displayVerticalDrawingGridEvery w:val="2"/>
  <w:noPunctuationKerning/>
  <w:characterSpacingControl w:val="doNotCompress"/>
  <w:hdrShapeDefaults>
    <o:shapedefaults v:ext="edit" spidmax="3079"/>
    <o:shapelayout v:ext="edit">
      <o:idmap v:ext="edit" data="1"/>
    </o:shapelayout>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8F6942"/>
    <w:rsid w:val="008603C9"/>
    <w:rsid w:val="008F6942"/>
    <w:rsid w:val="00A57603"/>
    <w:rsid w:val="00E66017"/>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9"/>
    <o:shapelayout v:ext="edit">
      <o:idmap v:ext="edit" data="3"/>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rsid w:val="008F6942"/>
    <w:rPr>
      <w:rFonts w:ascii="Calibri" w:eastAsia="Calibri" w:hAnsi="Calibri"/>
      <w:color w:val="000000"/>
      <w:sz w:val="24"/>
      <w:szCs w:val="24"/>
    </w:rPr>
  </w:style>
  <w:style w:type="paragraph" w:styleId="Titolo1">
    <w:name w:val="heading 1"/>
    <w:next w:val="Normale"/>
    <w:uiPriority w:val="7"/>
    <w:rsid w:val="008F6942"/>
    <w:pPr>
      <w:keepNext/>
      <w:keepLines/>
      <w:outlineLvl w:val="0"/>
    </w:pPr>
    <w:rPr>
      <w:rFonts w:ascii="Calibri Light" w:eastAsia="Calibri Light" w:hAnsi="Calibri Light"/>
      <w:color w:val="2E74B5"/>
      <w:sz w:val="32"/>
      <w:szCs w:val="32"/>
    </w:rPr>
  </w:style>
  <w:style w:type="paragraph" w:styleId="Titolo2">
    <w:name w:val="heading 2"/>
    <w:next w:val="Normale"/>
    <w:uiPriority w:val="8"/>
    <w:rsid w:val="008F6942"/>
    <w:pPr>
      <w:keepNext/>
      <w:keepLines/>
      <w:outlineLvl w:val="1"/>
    </w:pPr>
    <w:rPr>
      <w:rFonts w:ascii="Calibri Light" w:eastAsia="Calibri Light" w:hAnsi="Calibri Light"/>
      <w:color w:val="2E74B5"/>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uiPriority w:val="26"/>
    <w:rsid w:val="008F6942"/>
    <w:pPr>
      <w:ind w:left="720"/>
    </w:pPr>
    <w:rPr>
      <w:rFonts w:ascii="Calibri" w:eastAsia="Calibri" w:hAnsi="Calibri"/>
      <w:color w:val="000000"/>
      <w:sz w:val="24"/>
      <w:szCs w:val="24"/>
    </w:rPr>
  </w:style>
  <w:style w:type="character" w:styleId="Collegamentoipertestuale">
    <w:name w:val="Hyperlink"/>
    <w:rsid w:val="008F6942"/>
    <w:rPr>
      <w:w w:val="100"/>
      <w:sz w:val="20"/>
      <w:szCs w:val="20"/>
      <w:u w:val="single"/>
      <w:shd w:val="clear" w:color="auto" w:fill="auto"/>
    </w:rPr>
  </w:style>
  <w:style w:type="table" w:customStyle="1" w:styleId="TableNormal">
    <w:name w:val="Table Normal"/>
    <w:rsid w:val="008F6942"/>
    <w:tblPr>
      <w:tblInd w:w="0" w:type="dxa"/>
      <w:tblCellMar>
        <w:top w:w="0" w:type="dxa"/>
        <w:left w:w="0" w:type="dxa"/>
        <w:bottom w:w="0" w:type="dxa"/>
        <w:right w:w="0" w:type="dxa"/>
      </w:tblCellMar>
    </w:tblPr>
  </w:style>
  <w:style w:type="paragraph" w:styleId="Intestazione">
    <w:name w:val="header"/>
    <w:rsid w:val="008F6942"/>
    <w:pPr>
      <w:tabs>
        <w:tab w:val="center" w:pos="4680"/>
        <w:tab w:val="right" w:pos="9360"/>
      </w:tabs>
    </w:pPr>
    <w:rPr>
      <w:rFonts w:ascii="Calibri" w:eastAsia="Calibri" w:hAnsi="Calibri"/>
      <w:color w:val="000000"/>
      <w:sz w:val="24"/>
      <w:szCs w:val="24"/>
    </w:rPr>
  </w:style>
  <w:style w:type="paragraph" w:styleId="Didascalia">
    <w:name w:val="caption"/>
    <w:rsid w:val="008F6942"/>
    <w:rPr>
      <w:rFonts w:ascii="Calibri" w:eastAsia="Calibri" w:hAnsi="Calibri"/>
      <w:color w:val="000000"/>
      <w:sz w:val="36"/>
      <w:szCs w:val="36"/>
    </w:rPr>
  </w:style>
  <w:style w:type="paragraph" w:styleId="Pidipagina">
    <w:name w:val="footer"/>
    <w:rsid w:val="008F6942"/>
    <w:pPr>
      <w:tabs>
        <w:tab w:val="center" w:pos="4680"/>
        <w:tab w:val="right" w:pos="9360"/>
      </w:tabs>
    </w:pPr>
    <w:rPr>
      <w:rFonts w:ascii="Calibri" w:eastAsia="Calibri" w:hAnsi="Calibri"/>
      <w:color w:val="000000"/>
      <w:sz w:val="24"/>
      <w:szCs w:val="24"/>
    </w:rPr>
  </w:style>
  <w:style w:type="paragraph" w:customStyle="1" w:styleId="Intestazioneepidipagina">
    <w:name w:val="Intestazione e piè di pagina"/>
    <w:rsid w:val="008F6942"/>
    <w:pPr>
      <w:tabs>
        <w:tab w:val="right" w:pos="9020"/>
      </w:tabs>
    </w:pPr>
    <w:rPr>
      <w:rFonts w:ascii="Helvetica" w:eastAsia="Helvetica" w:hAnsi="Helvetica"/>
      <w:color w:val="000000"/>
      <w:sz w:val="24"/>
      <w:szCs w:val="24"/>
    </w:rPr>
  </w:style>
  <w:style w:type="character" w:styleId="Numeropagina">
    <w:name w:val="page number"/>
    <w:rsid w:val="008F6942"/>
  </w:style>
  <w:style w:type="numbering" w:customStyle="1" w:styleId="Stileimportato1">
    <w:name w:val="Stile importato 1"/>
    <w:rsid w:val="008F69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983</Words>
  <Characters>6248</Characters>
  <Application>Microsoft Office Word</Application>
  <DocSecurity>0</DocSecurity>
  <Lines>52</Lines>
  <Paragraphs>14</Paragraphs>
  <MMClips>0</MMClips>
  <ScaleCrop>false</ScaleCrop>
  <HeadingPairs>
    <vt:vector size="4" baseType="variant">
      <vt:variant>
        <vt:lpstr>Titolo</vt:lpstr>
      </vt:variant>
      <vt:variant>
        <vt:i4>1</vt:i4>
      </vt:variant>
      <vt:variant>
        <vt:lpstr>제목</vt:lpstr>
      </vt:variant>
      <vt:variant>
        <vt:i4>1</vt:i4>
      </vt:variant>
    </vt:vector>
  </HeadingPairs>
  <TitlesOfParts>
    <vt:vector size="2" baseType="lpstr">
      <vt:lpstr/>
      <vt:lpstr>Title text</vt:lpstr>
    </vt:vector>
  </TitlesOfParts>
  <Company>Hewlett-Packard Company</Company>
  <LinksUpToDate>false</LinksUpToDate>
  <CharactersWithSpaces>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2016-10-07T07:11:00Z</dcterms:created>
  <dcterms:modified xsi:type="dcterms:W3CDTF">2016-10-07T08:44:00Z</dcterms:modified>
</cp:coreProperties>
</file>